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F3" w:rsidRPr="008D5179" w:rsidRDefault="000501F3" w:rsidP="000501F3">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5276"/>
        <w:gridCol w:w="1094"/>
        <w:gridCol w:w="1064"/>
        <w:gridCol w:w="1066"/>
      </w:tblGrid>
      <w:tr w:rsidR="000501F3" w:rsidRPr="000B0BB0" w:rsidTr="00E7134B">
        <w:tc>
          <w:tcPr>
            <w:tcW w:w="687" w:type="pct"/>
            <w:tcBorders>
              <w:top w:val="single" w:sz="12"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文件編號與名稱</w:t>
            </w:r>
          </w:p>
        </w:tc>
        <w:tc>
          <w:tcPr>
            <w:tcW w:w="2677" w:type="pct"/>
            <w:tcBorders>
              <w:top w:val="single" w:sz="12"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b/>
                <w:sz w:val="28"/>
                <w:szCs w:val="28"/>
              </w:rPr>
            </w:pPr>
            <w:bookmarkStart w:id="0" w:name="教師升等"/>
            <w:r w:rsidRPr="00565DEA">
              <w:rPr>
                <w:rFonts w:ascii="標楷體" w:eastAsia="標楷體" w:hAnsi="標楷體" w:hint="eastAsia"/>
                <w:b/>
                <w:sz w:val="28"/>
                <w:szCs w:val="28"/>
              </w:rPr>
              <w:t>1160-011-1</w:t>
            </w:r>
            <w:bookmarkStart w:id="1" w:name="升等_教師升等"/>
            <w:r w:rsidRPr="00565DEA">
              <w:rPr>
                <w:rFonts w:ascii="標楷體" w:eastAsia="標楷體" w:hAnsi="標楷體" w:hint="eastAsia"/>
                <w:b/>
                <w:sz w:val="28"/>
                <w:szCs w:val="28"/>
              </w:rPr>
              <w:t>升等-教師升等</w:t>
            </w:r>
            <w:bookmarkEnd w:id="0"/>
            <w:bookmarkEnd w:id="1"/>
          </w:p>
        </w:tc>
        <w:tc>
          <w:tcPr>
            <w:tcW w:w="555" w:type="pct"/>
            <w:tcBorders>
              <w:top w:val="single" w:sz="12"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單位</w:t>
            </w:r>
          </w:p>
        </w:tc>
        <w:tc>
          <w:tcPr>
            <w:tcW w:w="1081" w:type="pct"/>
            <w:gridSpan w:val="2"/>
            <w:tcBorders>
              <w:top w:val="single" w:sz="12"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both"/>
              <w:rPr>
                <w:rFonts w:ascii="標楷體" w:eastAsia="標楷體" w:hAnsi="標楷體"/>
                <w:b/>
                <w:sz w:val="28"/>
                <w:szCs w:val="28"/>
              </w:rPr>
            </w:pPr>
            <w:r w:rsidRPr="000B0BB0">
              <w:rPr>
                <w:rFonts w:ascii="標楷體" w:eastAsia="標楷體" w:hAnsi="標楷體" w:hint="eastAsia"/>
                <w:b/>
                <w:sz w:val="28"/>
                <w:szCs w:val="28"/>
              </w:rPr>
              <w:t>人事室</w:t>
            </w: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版次</w:t>
            </w: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文件制訂</w:t>
            </w:r>
            <w:r w:rsidRPr="000B0BB0">
              <w:rPr>
                <w:rFonts w:ascii="標楷體" w:eastAsia="標楷體" w:hAnsi="標楷體"/>
                <w:b/>
                <w:sz w:val="28"/>
                <w:szCs w:val="28"/>
              </w:rPr>
              <w:t>/</w:t>
            </w:r>
            <w:r w:rsidRPr="000B0BB0">
              <w:rPr>
                <w:rFonts w:ascii="標楷體" w:eastAsia="標楷體" w:hAnsi="標楷體" w:hint="eastAsia"/>
                <w:b/>
                <w:sz w:val="28"/>
                <w:szCs w:val="28"/>
              </w:rPr>
              <w:t>修訂內容</w:t>
            </w: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cs="Times New Roman" w:hint="eastAsia"/>
                <w:b/>
                <w:sz w:val="28"/>
                <w:szCs w:val="28"/>
              </w:rPr>
              <w:t>制</w:t>
            </w:r>
            <w:r w:rsidRPr="000B0BB0">
              <w:rPr>
                <w:rFonts w:ascii="標楷體" w:eastAsia="標楷體" w:hAnsi="標楷體" w:cs="Times New Roman"/>
                <w:b/>
                <w:sz w:val="28"/>
                <w:szCs w:val="28"/>
              </w:rPr>
              <w:t>/</w:t>
            </w:r>
            <w:r w:rsidRPr="000B0BB0">
              <w:rPr>
                <w:rFonts w:ascii="標楷體" w:eastAsia="標楷體" w:hAnsi="標楷體" w:cs="Times New Roman" w:hint="eastAsia"/>
                <w:b/>
                <w:sz w:val="28"/>
                <w:szCs w:val="28"/>
              </w:rPr>
              <w:t>修訂日期</w:t>
            </w: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修訂人</w:t>
            </w: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秘書室確認欄</w:t>
            </w: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szCs w:val="24"/>
              </w:rPr>
              <w:t>1</w:t>
            </w: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r w:rsidRPr="000B0BB0">
              <w:rPr>
                <w:rFonts w:ascii="標楷體" w:eastAsia="標楷體" w:hAnsi="標楷體" w:hint="eastAsia"/>
                <w:szCs w:val="24"/>
              </w:rPr>
              <w:t>新訂</w:t>
            </w:r>
          </w:p>
          <w:p w:rsidR="000501F3" w:rsidRPr="000B0BB0" w:rsidRDefault="000501F3" w:rsidP="00214ECC">
            <w:pPr>
              <w:spacing w:line="0" w:lineRule="atLeast"/>
              <w:jc w:val="both"/>
              <w:rPr>
                <w:rFonts w:ascii="標楷體" w:eastAsia="標楷體" w:hAnsi="標楷體"/>
                <w:szCs w:val="24"/>
              </w:rPr>
            </w:pP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100.3月</w:t>
            </w: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林憶杰</w:t>
            </w: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2</w:t>
            </w: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ind w:left="240" w:hangingChars="100" w:hanging="240"/>
              <w:jc w:val="both"/>
              <w:rPr>
                <w:rFonts w:ascii="標楷體" w:eastAsia="標楷體" w:hAnsi="標楷體"/>
              </w:rPr>
            </w:pPr>
            <w:r w:rsidRPr="000B0BB0">
              <w:rPr>
                <w:rFonts w:ascii="標楷體" w:eastAsia="標楷體" w:hAnsi="標楷體" w:hint="eastAsia"/>
              </w:rPr>
              <w:t>1.修訂原因：配合新版內控格式修正流程圖</w:t>
            </w:r>
            <w:r>
              <w:rPr>
                <w:rFonts w:ascii="標楷體" w:eastAsia="標楷體" w:hAnsi="標楷體" w:hint="eastAsia"/>
              </w:rPr>
              <w:t>，及補校外辦法通過時間</w:t>
            </w:r>
            <w:r w:rsidRPr="000B0BB0">
              <w:rPr>
                <w:rFonts w:ascii="標楷體" w:eastAsia="標楷體" w:hAnsi="標楷體" w:cs="Times New Roman" w:hint="eastAsia"/>
                <w:szCs w:val="24"/>
              </w:rPr>
              <w:t>。</w:t>
            </w:r>
          </w:p>
          <w:p w:rsidR="000501F3" w:rsidRDefault="000501F3" w:rsidP="00214ECC">
            <w:pPr>
              <w:spacing w:line="0" w:lineRule="atLeast"/>
              <w:ind w:left="163" w:hangingChars="68" w:hanging="163"/>
              <w:rPr>
                <w:rFonts w:ascii="標楷體" w:eastAsia="標楷體" w:hAnsi="標楷體"/>
              </w:rPr>
            </w:pPr>
            <w:r w:rsidRPr="000B0BB0">
              <w:rPr>
                <w:rFonts w:ascii="標楷體" w:eastAsia="標楷體" w:hAnsi="標楷體" w:hint="eastAsia"/>
              </w:rPr>
              <w:t>2.修正處：</w:t>
            </w:r>
          </w:p>
          <w:p w:rsidR="000501F3" w:rsidRPr="000B0BB0" w:rsidRDefault="000501F3" w:rsidP="00214ECC">
            <w:pPr>
              <w:spacing w:line="0" w:lineRule="atLeast"/>
              <w:ind w:leftChars="100" w:left="840" w:hangingChars="250" w:hanging="600"/>
              <w:rPr>
                <w:rFonts w:ascii="標楷體" w:eastAsia="標楷體" w:hAnsi="標楷體"/>
              </w:rPr>
            </w:pPr>
            <w:r>
              <w:rPr>
                <w:rFonts w:ascii="標楷體" w:eastAsia="標楷體" w:hAnsi="標楷體" w:hint="eastAsia"/>
              </w:rPr>
              <w:t>（1）</w:t>
            </w:r>
            <w:r w:rsidRPr="000B0BB0">
              <w:rPr>
                <w:rFonts w:ascii="標楷體" w:eastAsia="標楷體" w:hAnsi="標楷體" w:cs="Times New Roman" w:hint="eastAsia"/>
                <w:szCs w:val="24"/>
              </w:rPr>
              <w:t>流程圖。</w:t>
            </w:r>
          </w:p>
          <w:p w:rsidR="000501F3" w:rsidRPr="000B0BB0" w:rsidRDefault="000501F3" w:rsidP="00214ECC">
            <w:pPr>
              <w:spacing w:line="0" w:lineRule="atLeast"/>
              <w:ind w:leftChars="100" w:left="840" w:hangingChars="250" w:hanging="600"/>
              <w:jc w:val="both"/>
              <w:rPr>
                <w:rFonts w:ascii="標楷體" w:eastAsia="標楷體" w:hAnsi="標楷體"/>
                <w:szCs w:val="24"/>
              </w:rPr>
            </w:pPr>
            <w:r>
              <w:rPr>
                <w:rFonts w:ascii="標楷體" w:eastAsia="標楷體" w:hAnsi="標楷體" w:hint="eastAsia"/>
              </w:rPr>
              <w:t>（2）依據及相關文件修改5.1.-5.4.。</w:t>
            </w: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105.2月</w:t>
            </w: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楊</w:t>
            </w:r>
            <w:r w:rsidRPr="000B0BB0">
              <w:rPr>
                <w:rFonts w:ascii="標楷體" w:eastAsia="標楷體" w:hAnsi="標楷體"/>
                <w:szCs w:val="24"/>
              </w:rPr>
              <w:t>豐銘</w:t>
            </w: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r w:rsidR="000501F3" w:rsidRPr="000B0BB0" w:rsidTr="00E7134B">
        <w:tc>
          <w:tcPr>
            <w:tcW w:w="687" w:type="pct"/>
            <w:tcBorders>
              <w:top w:val="single" w:sz="6" w:space="0" w:color="auto"/>
              <w:left w:val="single" w:sz="12" w:space="0" w:color="auto"/>
              <w:bottom w:val="single" w:sz="12"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2677" w:type="pct"/>
            <w:tcBorders>
              <w:top w:val="single" w:sz="6" w:space="0" w:color="auto"/>
              <w:left w:val="single" w:sz="6" w:space="0" w:color="auto"/>
              <w:bottom w:val="single" w:sz="12"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tc>
        <w:tc>
          <w:tcPr>
            <w:tcW w:w="555" w:type="pct"/>
            <w:tcBorders>
              <w:top w:val="single" w:sz="6" w:space="0" w:color="auto"/>
              <w:left w:val="single" w:sz="6" w:space="0" w:color="auto"/>
              <w:bottom w:val="single" w:sz="12"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0" w:type="pct"/>
            <w:tcBorders>
              <w:top w:val="single" w:sz="6" w:space="0" w:color="auto"/>
              <w:left w:val="single" w:sz="6" w:space="0" w:color="auto"/>
              <w:bottom w:val="single" w:sz="12"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1" w:type="pct"/>
            <w:tcBorders>
              <w:top w:val="single" w:sz="6" w:space="0" w:color="auto"/>
              <w:left w:val="single" w:sz="6" w:space="0" w:color="auto"/>
              <w:bottom w:val="single" w:sz="12"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bl>
    <w:p w:rsidR="000501F3" w:rsidRPr="008D5179" w:rsidRDefault="000501F3" w:rsidP="000501F3">
      <w:pPr>
        <w:jc w:val="right"/>
      </w:pPr>
    </w:p>
    <w:p w:rsidR="000501F3" w:rsidRPr="008D5179" w:rsidRDefault="000501F3" w:rsidP="000501F3">
      <w:r w:rsidRPr="008D5179">
        <w:rPr>
          <w:noProof/>
        </w:rPr>
        <mc:AlternateContent>
          <mc:Choice Requires="wps">
            <w:drawing>
              <wp:anchor distT="0" distB="0" distL="114300" distR="114300" simplePos="0" relativeHeight="251659264" behindDoc="0" locked="0" layoutInCell="1" allowOverlap="1" wp14:anchorId="0179B939" wp14:editId="35C3743C">
                <wp:simplePos x="0" y="0"/>
                <wp:positionH relativeFrom="column">
                  <wp:posOffset>4271010</wp:posOffset>
                </wp:positionH>
                <wp:positionV relativeFrom="paragraph">
                  <wp:posOffset>3562645</wp:posOffset>
                </wp:positionV>
                <wp:extent cx="2057400" cy="571500"/>
                <wp:effectExtent l="0" t="0" r="0" b="0"/>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1F3" w:rsidRPr="00C0495C" w:rsidRDefault="000501F3" w:rsidP="000501F3">
                            <w:pPr>
                              <w:rPr>
                                <w:rFonts w:ascii="標楷體" w:eastAsia="標楷體" w:hAnsi="標楷體"/>
                                <w:sz w:val="16"/>
                                <w:szCs w:val="16"/>
                              </w:rPr>
                            </w:pPr>
                            <w:r w:rsidRPr="00C0495C">
                              <w:rPr>
                                <w:rFonts w:ascii="標楷體" w:eastAsia="標楷體" w:hAnsi="標楷體" w:hint="eastAsia"/>
                                <w:sz w:val="16"/>
                                <w:szCs w:val="16"/>
                              </w:rPr>
                              <w:t>表單修訂日期：</w:t>
                            </w:r>
                            <w:r w:rsidR="001B4D03">
                              <w:rPr>
                                <w:rFonts w:ascii="標楷體" w:eastAsia="標楷體" w:hAnsi="標楷體" w:hint="eastAsia"/>
                                <w:kern w:val="0"/>
                                <w:sz w:val="16"/>
                                <w:szCs w:val="16"/>
                              </w:rPr>
                              <w:t>105.09.14</w:t>
                            </w:r>
                            <w:bookmarkStart w:id="2" w:name="_GoBack"/>
                            <w:bookmarkEnd w:id="2"/>
                          </w:p>
                          <w:p w:rsidR="000501F3" w:rsidRPr="00A07CB8" w:rsidRDefault="000501F3" w:rsidP="000501F3">
                            <w:pPr>
                              <w:rPr>
                                <w:sz w:val="16"/>
                                <w:szCs w:val="16"/>
                              </w:rPr>
                            </w:pPr>
                            <w:r w:rsidRPr="00C0495C">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36.3pt;margin-top:280.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NvtAIAALs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" filled="f" stroked="f">
                <v:textbox>
                  <w:txbxContent>
                    <w:p w:rsidR="000501F3" w:rsidRPr="00C0495C" w:rsidRDefault="000501F3" w:rsidP="000501F3">
                      <w:pPr>
                        <w:rPr>
                          <w:rFonts w:ascii="標楷體" w:eastAsia="標楷體" w:hAnsi="標楷體"/>
                          <w:sz w:val="16"/>
                          <w:szCs w:val="16"/>
                        </w:rPr>
                      </w:pPr>
                      <w:r w:rsidRPr="00C0495C">
                        <w:rPr>
                          <w:rFonts w:ascii="標楷體" w:eastAsia="標楷體" w:hAnsi="標楷體" w:hint="eastAsia"/>
                          <w:sz w:val="16"/>
                          <w:szCs w:val="16"/>
                        </w:rPr>
                        <w:t>表單修訂日期：</w:t>
                      </w:r>
                      <w:r w:rsidR="001B4D03">
                        <w:rPr>
                          <w:rFonts w:ascii="標楷體" w:eastAsia="標楷體" w:hAnsi="標楷體" w:hint="eastAsia"/>
                          <w:kern w:val="0"/>
                          <w:sz w:val="16"/>
                          <w:szCs w:val="16"/>
                        </w:rPr>
                        <w:t>105.09.14</w:t>
                      </w:r>
                      <w:bookmarkStart w:id="3" w:name="_GoBack"/>
                      <w:bookmarkEnd w:id="3"/>
                    </w:p>
                    <w:p w:rsidR="000501F3" w:rsidRPr="00A07CB8" w:rsidRDefault="000501F3" w:rsidP="000501F3">
                      <w:pPr>
                        <w:rPr>
                          <w:sz w:val="16"/>
                          <w:szCs w:val="16"/>
                        </w:rPr>
                      </w:pPr>
                      <w:r w:rsidRPr="00C0495C">
                        <w:rPr>
                          <w:rFonts w:ascii="標楷體" w:eastAsia="標楷體" w:hAnsi="標楷體" w:hint="eastAsia"/>
                          <w:sz w:val="16"/>
                          <w:szCs w:val="16"/>
                        </w:rPr>
                        <w:t>保存期限：至依附的文件作廢為止</w:t>
                      </w:r>
                    </w:p>
                  </w:txbxContent>
                </v:textbox>
              </v:shape>
            </w:pict>
          </mc:Fallback>
        </mc:AlternateContent>
      </w:r>
      <w:r w:rsidRPr="008D5179">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41"/>
        <w:gridCol w:w="1246"/>
        <w:gridCol w:w="1301"/>
        <w:gridCol w:w="1031"/>
      </w:tblGrid>
      <w:tr w:rsidR="000501F3" w:rsidRPr="008D5179" w:rsidTr="00214ECC">
        <w:trPr>
          <w:jc w:val="center"/>
        </w:trPr>
        <w:tc>
          <w:tcPr>
            <w:tcW w:w="5000" w:type="pct"/>
            <w:gridSpan w:val="5"/>
            <w:tcBorders>
              <w:top w:val="single" w:sz="12" w:space="0" w:color="auto"/>
              <w:left w:val="single" w:sz="12" w:space="0" w:color="auto"/>
              <w:right w:val="single" w:sz="12" w:space="0" w:color="auto"/>
            </w:tcBorders>
            <w:vAlign w:val="center"/>
          </w:tcPr>
          <w:p w:rsidR="000501F3" w:rsidRPr="008D5179" w:rsidRDefault="000501F3" w:rsidP="00214ECC">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0501F3" w:rsidRPr="008D5179" w:rsidTr="00214ECC">
        <w:trPr>
          <w:jc w:val="center"/>
        </w:trPr>
        <w:tc>
          <w:tcPr>
            <w:tcW w:w="2251" w:type="pct"/>
            <w:tcBorders>
              <w:left w:val="single" w:sz="12" w:space="0" w:color="auto"/>
              <w:bottom w:val="single" w:sz="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0501F3" w:rsidRPr="008D5179" w:rsidTr="00214ECC">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0501F3" w:rsidRPr="00F304C7" w:rsidRDefault="000501F3" w:rsidP="00214ECC">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2</w:t>
            </w:r>
            <w:r w:rsidRPr="00F304C7">
              <w:rPr>
                <w:rFonts w:ascii="標楷體" w:eastAsia="標楷體" w:hAnsi="標楷體"/>
                <w:color w:val="000000" w:themeColor="text1"/>
                <w:sz w:val="20"/>
                <w:szCs w:val="20"/>
              </w:rPr>
              <w:t>/</w:t>
            </w:r>
          </w:p>
          <w:p w:rsidR="000501F3" w:rsidRPr="008D5179" w:rsidRDefault="000501F3" w:rsidP="00214ECC">
            <w:pPr>
              <w:spacing w:line="0" w:lineRule="atLeast"/>
              <w:jc w:val="center"/>
              <w:rPr>
                <w:rFonts w:ascii="標楷體" w:eastAsia="標楷體" w:hAnsi="標楷體"/>
                <w:color w:val="000000" w:themeColor="text1"/>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1220B">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0501F3" w:rsidRPr="008D5179" w:rsidRDefault="000501F3" w:rsidP="000501F3">
      <w:pPr>
        <w:jc w:val="right"/>
        <w:rPr>
          <w:rFonts w:ascii="標楷體" w:eastAsia="標楷體" w:hAnsi="標楷體"/>
          <w:b/>
        </w:rPr>
      </w:pP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1.流程圖：</w:t>
      </w:r>
    </w:p>
    <w:p w:rsidR="000501F3" w:rsidRDefault="00E7134B" w:rsidP="000501F3">
      <w:pPr>
        <w:widowControl/>
        <w:rPr>
          <w:rFonts w:ascii="標楷體" w:eastAsia="標楷體" w:hAnsi="標楷體"/>
          <w:szCs w:val="24"/>
        </w:rPr>
      </w:pPr>
      <w:r>
        <w:object w:dxaOrig="10855" w:dyaOrig="1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67.25pt" o:ole="">
            <v:imagedata r:id="rId7" o:title=""/>
          </v:shape>
          <o:OLEObject Type="Embed" ProgID="Visio.Drawing.11" ShapeID="_x0000_i1025" DrawAspect="Content" ObjectID="_1608039777" r:id="rId8"/>
        </w:object>
      </w:r>
    </w:p>
    <w:p w:rsidR="000501F3" w:rsidRPr="00B6301B" w:rsidRDefault="000501F3" w:rsidP="000501F3">
      <w:pPr>
        <w:widowControl/>
        <w:rPr>
          <w:rFonts w:ascii="標楷體" w:eastAsia="標楷體" w:hAnsi="標楷體"/>
          <w:sz w:val="16"/>
          <w:szCs w:val="16"/>
        </w:rPr>
      </w:pPr>
      <w:r w:rsidRPr="00B6301B">
        <w:rPr>
          <w:rFonts w:ascii="標楷體" w:eastAsia="標楷體" w:hAnsi="標楷體"/>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41"/>
        <w:gridCol w:w="1246"/>
        <w:gridCol w:w="1301"/>
        <w:gridCol w:w="1031"/>
      </w:tblGrid>
      <w:tr w:rsidR="000501F3" w:rsidRPr="008D5179" w:rsidTr="00214ECC">
        <w:trPr>
          <w:jc w:val="center"/>
        </w:trPr>
        <w:tc>
          <w:tcPr>
            <w:tcW w:w="5000" w:type="pct"/>
            <w:gridSpan w:val="5"/>
            <w:tcBorders>
              <w:top w:val="single" w:sz="12" w:space="0" w:color="auto"/>
              <w:left w:val="single" w:sz="12" w:space="0" w:color="auto"/>
              <w:right w:val="single" w:sz="12" w:space="0" w:color="auto"/>
            </w:tcBorders>
            <w:vAlign w:val="center"/>
          </w:tcPr>
          <w:p w:rsidR="000501F3" w:rsidRPr="008D5179" w:rsidRDefault="000501F3" w:rsidP="00214ECC">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0501F3" w:rsidRPr="008D5179" w:rsidTr="00214ECC">
        <w:trPr>
          <w:jc w:val="center"/>
        </w:trPr>
        <w:tc>
          <w:tcPr>
            <w:tcW w:w="2251" w:type="pct"/>
            <w:tcBorders>
              <w:left w:val="single" w:sz="12" w:space="0" w:color="auto"/>
              <w:bottom w:val="single" w:sz="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0501F3" w:rsidRPr="008D5179" w:rsidTr="00214ECC">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0501F3" w:rsidRPr="00F304C7" w:rsidRDefault="000501F3" w:rsidP="00214ECC">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2</w:t>
            </w:r>
            <w:r w:rsidRPr="00F304C7">
              <w:rPr>
                <w:rFonts w:ascii="標楷體" w:eastAsia="標楷體" w:hAnsi="標楷體"/>
                <w:color w:val="000000" w:themeColor="text1"/>
                <w:sz w:val="20"/>
                <w:szCs w:val="20"/>
              </w:rPr>
              <w:t>/</w:t>
            </w:r>
          </w:p>
          <w:p w:rsidR="000501F3" w:rsidRPr="008D5179" w:rsidRDefault="000501F3" w:rsidP="00214ECC">
            <w:pPr>
              <w:spacing w:line="0" w:lineRule="atLeast"/>
              <w:jc w:val="center"/>
              <w:rPr>
                <w:rFonts w:ascii="標楷體" w:eastAsia="標楷體" w:hAnsi="標楷體"/>
                <w:color w:val="000000" w:themeColor="text1"/>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1220B">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0501F3" w:rsidRPr="008D5179" w:rsidRDefault="000501F3" w:rsidP="000501F3">
      <w:pPr>
        <w:jc w:val="right"/>
        <w:rPr>
          <w:rFonts w:ascii="標楷體" w:eastAsia="標楷體" w:hAnsi="標楷體"/>
          <w:b/>
        </w:rPr>
      </w:pP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2.作業程序：</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2.1.升等教授：</w:t>
      </w:r>
      <w:r w:rsidRPr="008D5179">
        <w:rPr>
          <w:rFonts w:ascii="標楷體" w:eastAsia="標楷體" w:hAnsi="標楷體"/>
        </w:rPr>
        <w:t>依</w:t>
      </w:r>
      <w:r w:rsidRPr="008D5179">
        <w:rPr>
          <w:rFonts w:ascii="標楷體" w:eastAsia="標楷體" w:hAnsi="標楷體" w:hint="eastAsia"/>
        </w:rPr>
        <w:t>教育人員任用條例第十八條規定申請教授資格審定者，應填具教師資格審查履歷表，並依規定繳交相關書件。</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2.2.升等副教授：</w:t>
      </w:r>
      <w:r w:rsidRPr="008D5179">
        <w:rPr>
          <w:rFonts w:ascii="標楷體" w:eastAsia="標楷體" w:hAnsi="標楷體"/>
        </w:rPr>
        <w:t>依</w:t>
      </w:r>
      <w:r w:rsidRPr="008D5179">
        <w:rPr>
          <w:rFonts w:ascii="標楷體" w:eastAsia="標楷體" w:hAnsi="標楷體" w:hint="eastAsia"/>
        </w:rPr>
        <w:t>教育人員任用條例</w:t>
      </w:r>
      <w:r w:rsidRPr="008D5179">
        <w:rPr>
          <w:rFonts w:ascii="標楷體" w:eastAsia="標楷體" w:hAnsi="標楷體"/>
        </w:rPr>
        <w:t>第十七條規定申請副教授資格審定者，應填具教師資格審查履歷表，</w:t>
      </w:r>
      <w:r w:rsidRPr="008D5179">
        <w:rPr>
          <w:rFonts w:ascii="標楷體" w:eastAsia="標楷體" w:hAnsi="標楷體" w:hint="eastAsia"/>
        </w:rPr>
        <w:t>並依規定繳交相關書件。</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2.3.升等助理教授：</w:t>
      </w:r>
      <w:r w:rsidRPr="008D5179">
        <w:rPr>
          <w:rFonts w:ascii="標楷體" w:eastAsia="標楷體" w:hAnsi="標楷體"/>
        </w:rPr>
        <w:t>依</w:t>
      </w:r>
      <w:r w:rsidRPr="008D5179">
        <w:rPr>
          <w:rFonts w:ascii="標楷體" w:eastAsia="標楷體" w:hAnsi="標楷體" w:hint="eastAsia"/>
        </w:rPr>
        <w:t>教育人員任用條例</w:t>
      </w:r>
      <w:r w:rsidRPr="008D5179">
        <w:rPr>
          <w:rFonts w:ascii="標楷體" w:eastAsia="標楷體" w:hAnsi="標楷體"/>
        </w:rPr>
        <w:t>第十六條之一規定申請助理教授資格審定者，應填具教師資格審查履歷表，</w:t>
      </w:r>
      <w:r w:rsidRPr="008D5179">
        <w:rPr>
          <w:rFonts w:ascii="標楷體" w:eastAsia="標楷體" w:hAnsi="標楷體" w:hint="eastAsia"/>
        </w:rPr>
        <w:t>並依規定繳交相關書件。</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2.4.申請升等之著作應符合本校「教師聘任及升等辦法」及「專科以上學校教師資格審定辦法」規定。</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2.5.教師升等之審查：</w:t>
      </w:r>
    </w:p>
    <w:p w:rsidR="000501F3" w:rsidRPr="008D5179" w:rsidRDefault="000501F3" w:rsidP="000501F3">
      <w:pPr>
        <w:ind w:leftChars="300" w:left="1440" w:hangingChars="300" w:hanging="720"/>
        <w:jc w:val="both"/>
        <w:rPr>
          <w:rFonts w:ascii="標楷體" w:eastAsia="標楷體" w:hAnsi="標楷體"/>
        </w:rPr>
      </w:pPr>
      <w:r w:rsidRPr="008D5179">
        <w:rPr>
          <w:rFonts w:ascii="標楷體" w:eastAsia="標楷體" w:hAnsi="標楷體" w:hint="eastAsia"/>
        </w:rPr>
        <w:t>2.5.1.初審：教師升等由各系</w:t>
      </w:r>
      <w:r w:rsidRPr="008D5179">
        <w:rPr>
          <w:rFonts w:ascii="標楷體" w:eastAsia="標楷體" w:hAnsi="標楷體"/>
        </w:rPr>
        <w:t>(</w:t>
      </w:r>
      <w:r w:rsidRPr="008D5179">
        <w:rPr>
          <w:rFonts w:ascii="標楷體" w:eastAsia="標楷體" w:hAnsi="標楷體" w:hint="eastAsia"/>
        </w:rPr>
        <w:t>所</w:t>
      </w:r>
      <w:r w:rsidRPr="008D5179">
        <w:rPr>
          <w:rFonts w:ascii="標楷體" w:eastAsia="標楷體" w:hAnsi="標楷體"/>
        </w:rPr>
        <w:t>)</w:t>
      </w:r>
      <w:r w:rsidRPr="008D5179">
        <w:rPr>
          <w:rFonts w:ascii="標楷體" w:eastAsia="標楷體" w:hAnsi="標楷體" w:hint="eastAsia"/>
        </w:rPr>
        <w:t>教評會辦理升</w:t>
      </w:r>
      <w:r w:rsidRPr="008D5179">
        <w:rPr>
          <w:rFonts w:ascii="標楷體" w:eastAsia="標楷體" w:hAnsi="標楷體"/>
        </w:rPr>
        <w:t>等評量表</w:t>
      </w:r>
      <w:r w:rsidRPr="008D5179">
        <w:rPr>
          <w:rFonts w:ascii="標楷體" w:eastAsia="標楷體" w:hAnsi="標楷體" w:hint="eastAsia"/>
        </w:rPr>
        <w:t>初審。</w:t>
      </w:r>
    </w:p>
    <w:p w:rsidR="000501F3" w:rsidRPr="008D5179" w:rsidRDefault="000501F3" w:rsidP="000501F3">
      <w:pPr>
        <w:ind w:leftChars="300" w:left="1440" w:hangingChars="300" w:hanging="720"/>
        <w:jc w:val="both"/>
        <w:rPr>
          <w:rFonts w:ascii="標楷體" w:eastAsia="標楷體" w:hAnsi="標楷體"/>
        </w:rPr>
      </w:pPr>
      <w:r w:rsidRPr="008D5179">
        <w:rPr>
          <w:rFonts w:ascii="標楷體" w:eastAsia="標楷體" w:hAnsi="標楷體" w:hint="eastAsia"/>
        </w:rPr>
        <w:t>2.5.2.複審：由院級教評會辦理複審。</w:t>
      </w:r>
    </w:p>
    <w:p w:rsidR="000501F3" w:rsidRPr="008D5179" w:rsidRDefault="000501F3" w:rsidP="000501F3">
      <w:pPr>
        <w:tabs>
          <w:tab w:val="num" w:pos="2880"/>
        </w:tabs>
        <w:autoSpaceDE w:val="0"/>
        <w:autoSpaceDN w:val="0"/>
        <w:ind w:leftChars="600" w:left="2400" w:hangingChars="400" w:hanging="960"/>
        <w:jc w:val="both"/>
        <w:rPr>
          <w:rFonts w:ascii="標楷體" w:eastAsia="標楷體" w:hAnsi="標楷體"/>
          <w:bCs/>
        </w:rPr>
      </w:pPr>
      <w:r w:rsidRPr="008D5179">
        <w:rPr>
          <w:rFonts w:ascii="標楷體" w:eastAsia="標楷體" w:hAnsi="標楷體" w:hint="eastAsia"/>
        </w:rPr>
        <w:t>2.5.2.1.初審通過後，升</w:t>
      </w:r>
      <w:r w:rsidRPr="008D5179">
        <w:rPr>
          <w:rFonts w:ascii="標楷體" w:eastAsia="標楷體" w:hAnsi="標楷體"/>
        </w:rPr>
        <w:t>等評量表</w:t>
      </w:r>
      <w:r w:rsidRPr="008D5179">
        <w:rPr>
          <w:rFonts w:ascii="標楷體" w:eastAsia="標楷體" w:hAnsi="標楷體" w:hint="eastAsia"/>
        </w:rPr>
        <w:t>送院教評會複審後，應由學</w:t>
      </w:r>
      <w:r w:rsidRPr="008D5179">
        <w:rPr>
          <w:rFonts w:ascii="標楷體" w:eastAsia="標楷體" w:hAnsi="標楷體"/>
        </w:rPr>
        <w:t>院</w:t>
      </w:r>
      <w:r w:rsidRPr="008D5179">
        <w:rPr>
          <w:rFonts w:ascii="標楷體" w:eastAsia="標楷體" w:hAnsi="標楷體" w:hint="eastAsia"/>
        </w:rPr>
        <w:t>辦理著作外審，</w:t>
      </w:r>
      <w:r w:rsidRPr="008D5179">
        <w:rPr>
          <w:rFonts w:ascii="標楷體" w:eastAsia="標楷體" w:hAnsi="標楷體"/>
        </w:rPr>
        <w:t>外審通過後再進教評會審查有無違反學術倫理等事宜</w:t>
      </w:r>
      <w:r w:rsidRPr="008D5179">
        <w:rPr>
          <w:rFonts w:ascii="標楷體" w:eastAsia="標楷體" w:hAnsi="標楷體" w:hint="eastAsia"/>
        </w:rPr>
        <w:t>。審</w:t>
      </w:r>
      <w:r w:rsidRPr="008D5179">
        <w:rPr>
          <w:rFonts w:ascii="標楷體" w:eastAsia="標楷體" w:hAnsi="標楷體" w:hint="eastAsia"/>
          <w:bCs/>
        </w:rPr>
        <w:t>查人員名單由擬升等教師所屬之系（所）教評會召集人及所屬學院教評會召集人，各推薦校外相關專家學者五人，得併同擬升等教師提出之迴避名單至多三人，送請教務長圈選三人（必要時得排序三人以上）。外審通過之門檻為三人中至少應有二人評分達七十分以上。</w:t>
      </w:r>
    </w:p>
    <w:p w:rsidR="000501F3" w:rsidRPr="008D5179" w:rsidRDefault="000501F3" w:rsidP="000501F3">
      <w:pPr>
        <w:tabs>
          <w:tab w:val="num" w:pos="2880"/>
        </w:tabs>
        <w:autoSpaceDE w:val="0"/>
        <w:autoSpaceDN w:val="0"/>
        <w:ind w:leftChars="600" w:left="2400" w:hangingChars="400" w:hanging="960"/>
        <w:jc w:val="both"/>
        <w:rPr>
          <w:rFonts w:ascii="標楷體" w:eastAsia="標楷體" w:hAnsi="標楷體"/>
        </w:rPr>
      </w:pPr>
      <w:r w:rsidRPr="008D5179">
        <w:rPr>
          <w:rFonts w:ascii="標楷體" w:eastAsia="標楷體" w:hAnsi="標楷體" w:hint="eastAsia"/>
          <w:bCs/>
        </w:rPr>
        <w:t>2.5.2.2.前揭2.5.2.1規定由</w:t>
      </w:r>
      <w:r w:rsidRPr="008D5179">
        <w:rPr>
          <w:rFonts w:ascii="標楷體" w:eastAsia="標楷體" w:hAnsi="標楷體" w:hint="eastAsia"/>
        </w:rPr>
        <w:t>升等</w:t>
      </w:r>
      <w:r w:rsidRPr="008D5179">
        <w:rPr>
          <w:rFonts w:ascii="標楷體" w:eastAsia="標楷體" w:hAnsi="標楷體"/>
        </w:rPr>
        <w:t>教師所屬學院</w:t>
      </w:r>
      <w:r w:rsidRPr="008D5179">
        <w:rPr>
          <w:rFonts w:ascii="標楷體" w:eastAsia="標楷體" w:hAnsi="標楷體" w:hint="eastAsia"/>
        </w:rPr>
        <w:t>辦理著作外審之程序。</w:t>
      </w:r>
    </w:p>
    <w:p w:rsidR="000501F3" w:rsidRPr="008D5179" w:rsidRDefault="000501F3" w:rsidP="000501F3">
      <w:pPr>
        <w:ind w:leftChars="300" w:left="1440" w:hangingChars="300" w:hanging="720"/>
        <w:jc w:val="both"/>
        <w:rPr>
          <w:rFonts w:ascii="標楷體" w:eastAsia="標楷體" w:hAnsi="標楷體"/>
        </w:rPr>
      </w:pPr>
      <w:r w:rsidRPr="008D5179">
        <w:rPr>
          <w:rFonts w:ascii="標楷體" w:eastAsia="標楷體" w:hAnsi="標楷體" w:hint="eastAsia"/>
        </w:rPr>
        <w:t>2.5.3.決審：由校級教評會辦理決審。</w:t>
      </w:r>
    </w:p>
    <w:p w:rsidR="000501F3" w:rsidRPr="008D5179" w:rsidRDefault="0091220B" w:rsidP="000501F3">
      <w:pPr>
        <w:tabs>
          <w:tab w:val="num" w:pos="2880"/>
        </w:tabs>
        <w:autoSpaceDE w:val="0"/>
        <w:autoSpaceDN w:val="0"/>
        <w:ind w:leftChars="600" w:left="2400" w:hangingChars="400" w:hanging="960"/>
        <w:jc w:val="both"/>
        <w:rPr>
          <w:rFonts w:ascii="標楷體" w:eastAsia="標楷體" w:hAnsi="標楷體"/>
          <w:bCs/>
        </w:rPr>
      </w:pPr>
      <w:r>
        <w:rPr>
          <w:rFonts w:ascii="標楷體" w:eastAsia="標楷體" w:hAnsi="標楷體" w:hint="eastAsia"/>
        </w:rPr>
        <w:t>2.5.3.1.</w:t>
      </w:r>
      <w:r w:rsidR="000501F3" w:rsidRPr="008D5179">
        <w:rPr>
          <w:rFonts w:ascii="標楷體" w:eastAsia="標楷體" w:hAnsi="標楷體" w:hint="eastAsia"/>
        </w:rPr>
        <w:t>複審通過後，升</w:t>
      </w:r>
      <w:r w:rsidR="000501F3" w:rsidRPr="008D5179">
        <w:rPr>
          <w:rFonts w:ascii="標楷體" w:eastAsia="標楷體" w:hAnsi="標楷體"/>
        </w:rPr>
        <w:t>等評量表</w:t>
      </w:r>
      <w:r w:rsidR="000501F3" w:rsidRPr="008D5179">
        <w:rPr>
          <w:rFonts w:ascii="標楷體" w:eastAsia="標楷體" w:hAnsi="標楷體" w:hint="eastAsia"/>
        </w:rPr>
        <w:t>送校教評會決審後，由人事室辦理著作外審，</w:t>
      </w:r>
      <w:r w:rsidR="000501F3" w:rsidRPr="008D5179">
        <w:rPr>
          <w:rFonts w:ascii="標楷體" w:eastAsia="標楷體" w:hAnsi="標楷體"/>
        </w:rPr>
        <w:t>外審通過後再進教評會審查有無違反學術倫理等事宜</w:t>
      </w:r>
      <w:r w:rsidR="000501F3" w:rsidRPr="008D5179">
        <w:rPr>
          <w:rFonts w:ascii="標楷體" w:eastAsia="標楷體" w:hAnsi="標楷體" w:hint="eastAsia"/>
          <w:bCs/>
        </w:rPr>
        <w:t>。審查人員名單由擬升等教師所屬之學院教評會召集人及教務長，就該教師之專長，各推薦校外相關專家學者五人，得併同擬升等教師提出之迴避名單至多三人，送請校教評會召集人圈選三人（必要時得排序三人以上，但複審階段曾為外審委員者不得圈選）。外審通過之門檻為三人中至少應有二人評分達七十分以上。</w:t>
      </w:r>
    </w:p>
    <w:p w:rsidR="000501F3" w:rsidRDefault="000501F3" w:rsidP="000501F3">
      <w:pPr>
        <w:ind w:leftChars="300" w:left="1440" w:hangingChars="300" w:hanging="720"/>
        <w:jc w:val="both"/>
        <w:rPr>
          <w:rFonts w:ascii="標楷體" w:eastAsia="標楷體" w:hAnsi="標楷體"/>
        </w:rPr>
      </w:pPr>
      <w:r w:rsidRPr="008D5179">
        <w:rPr>
          <w:rFonts w:ascii="標楷體" w:eastAsia="標楷體" w:hAnsi="標楷體" w:hint="eastAsia"/>
        </w:rPr>
        <w:t>2.5.4.升等教師如有不服校教評會之決定，得於接到通知十四日內向本校教師申訴評議委員會提出申訴。</w:t>
      </w:r>
    </w:p>
    <w:p w:rsidR="0091220B" w:rsidRDefault="000501F3" w:rsidP="0091220B">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2.6.校教師評審委員會召開升等審查會議後，十日內將審查結果（包括不通過之參考評語）通知推薦單位及申請升等教師。升等教師接獲升等通過通知後二週內，務必檢齊規定之表件（教師資格審查履歷表、教師證書、教師聘書），送人事室轉報教育部審核及請領教師證書。</w:t>
      </w:r>
    </w:p>
    <w:p w:rsidR="000501F3" w:rsidRPr="008D5179" w:rsidRDefault="000501F3" w:rsidP="0091220B">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41"/>
        <w:gridCol w:w="1246"/>
        <w:gridCol w:w="1301"/>
        <w:gridCol w:w="1031"/>
      </w:tblGrid>
      <w:tr w:rsidR="000501F3" w:rsidRPr="008D5179" w:rsidTr="00214ECC">
        <w:trPr>
          <w:jc w:val="center"/>
        </w:trPr>
        <w:tc>
          <w:tcPr>
            <w:tcW w:w="5000" w:type="pct"/>
            <w:gridSpan w:val="5"/>
            <w:tcBorders>
              <w:top w:val="single" w:sz="12" w:space="0" w:color="auto"/>
              <w:left w:val="single" w:sz="12" w:space="0" w:color="auto"/>
              <w:right w:val="single" w:sz="12" w:space="0" w:color="auto"/>
            </w:tcBorders>
            <w:vAlign w:val="center"/>
          </w:tcPr>
          <w:p w:rsidR="000501F3" w:rsidRPr="008D5179" w:rsidRDefault="000501F3" w:rsidP="00214ECC">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0501F3" w:rsidRPr="008D5179" w:rsidTr="00214ECC">
        <w:trPr>
          <w:jc w:val="center"/>
        </w:trPr>
        <w:tc>
          <w:tcPr>
            <w:tcW w:w="2251" w:type="pct"/>
            <w:tcBorders>
              <w:left w:val="single" w:sz="12" w:space="0" w:color="auto"/>
              <w:bottom w:val="single" w:sz="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0501F3" w:rsidRPr="008D5179" w:rsidTr="00214ECC">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0501F3" w:rsidRPr="00F304C7" w:rsidRDefault="000501F3" w:rsidP="00214ECC">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2</w:t>
            </w:r>
            <w:r w:rsidRPr="00F304C7">
              <w:rPr>
                <w:rFonts w:ascii="標楷體" w:eastAsia="標楷體" w:hAnsi="標楷體"/>
                <w:color w:val="000000" w:themeColor="text1"/>
                <w:sz w:val="20"/>
                <w:szCs w:val="20"/>
              </w:rPr>
              <w:t>/</w:t>
            </w:r>
          </w:p>
          <w:p w:rsidR="000501F3" w:rsidRPr="008D5179" w:rsidRDefault="000501F3" w:rsidP="00214ECC">
            <w:pPr>
              <w:spacing w:line="0" w:lineRule="atLeast"/>
              <w:jc w:val="center"/>
              <w:rPr>
                <w:rFonts w:ascii="標楷體" w:eastAsia="標楷體" w:hAnsi="標楷體"/>
                <w:color w:val="000000" w:themeColor="text1"/>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1220B">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0501F3" w:rsidRPr="008D5179" w:rsidRDefault="000501F3" w:rsidP="000501F3">
      <w:pPr>
        <w:tabs>
          <w:tab w:val="left" w:pos="960"/>
        </w:tabs>
        <w:adjustRightInd w:val="0"/>
        <w:jc w:val="right"/>
        <w:textAlignment w:val="baseline"/>
        <w:rPr>
          <w:rFonts w:ascii="標楷體" w:eastAsia="標楷體" w:hAnsi="標楷體"/>
        </w:rPr>
      </w:pPr>
    </w:p>
    <w:p w:rsidR="000501F3" w:rsidRPr="008D5179" w:rsidRDefault="000501F3" w:rsidP="000501F3">
      <w:pPr>
        <w:tabs>
          <w:tab w:val="left" w:pos="960"/>
        </w:tabs>
        <w:adjustRightInd w:val="0"/>
        <w:spacing w:before="100" w:beforeAutospacing="1"/>
        <w:ind w:leftChars="100" w:left="720" w:hangingChars="200" w:hanging="480"/>
        <w:jc w:val="both"/>
        <w:textAlignment w:val="baseline"/>
        <w:rPr>
          <w:rFonts w:ascii="標楷體" w:eastAsia="標楷體" w:hAnsi="標楷體"/>
        </w:rPr>
      </w:pPr>
      <w:r w:rsidRPr="008D5179">
        <w:rPr>
          <w:rFonts w:ascii="標楷體" w:eastAsia="標楷體" w:hAnsi="標楷體" w:hint="eastAsia"/>
        </w:rPr>
        <w:t>2.7.申請升等之教師經校教師評審委員會審查通過升等案後，得先以新職改聘，並由人事室檢件報請教育部審查。送審期間薪資仍依原職支給，俟教育部審定通過後，並依年資起算時間補發薪資之差額。若未獲教育部審查通過，即恢復原職。</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2.8.教務處及人事室辦理著作外審過程及內容不得公開，業務承辦人於審查作業中須負保密之責，俟審查完畢後，得將審查意見節錄送申請人參考。升等教師於審查過程中不得向業務承辦人詢問相關審查事項。</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2.9.決審通過後，人事室備齊：教師資格審查名冊（2份）、審定教師人數統計表、專科以上學校辦理以著作（技術報告、作品、體育成就）送審教師資格查核表、教師資格審查履歷表以及教師資格審查履歷表中所需附送資料報教育部審定教師資格。</w:t>
      </w: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3.控制重點：</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3.1.升等推薦表/升</w:t>
      </w:r>
      <w:r w:rsidRPr="008D5179">
        <w:rPr>
          <w:rFonts w:ascii="標楷體" w:eastAsia="標楷體" w:hAnsi="標楷體"/>
        </w:rPr>
        <w:t>等評量表</w:t>
      </w:r>
      <w:r w:rsidRPr="008D5179">
        <w:rPr>
          <w:rFonts w:ascii="標楷體" w:eastAsia="標楷體" w:hAnsi="標楷體" w:hint="eastAsia"/>
        </w:rPr>
        <w:t>是否有依規定填寫？</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3.2.決審通過後是否先以新職改聘，送審期間薪資仍依原職支給，俟教育部審定通過後，並依年資起算時間補發薪資之差額。若未獲教育部審查通過，即恢復原職？</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3.3.決審後，是否於限期內備齊相關表件報部？</w:t>
      </w: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4.使用表單：</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4.1.教師升等推薦表/</w:t>
      </w:r>
      <w:r w:rsidRPr="008D5179">
        <w:rPr>
          <w:rFonts w:ascii="標楷體" w:eastAsia="標楷體" w:hAnsi="標楷體"/>
        </w:rPr>
        <w:t>教師升等評量表</w:t>
      </w:r>
      <w:r w:rsidRPr="008D5179">
        <w:rPr>
          <w:rFonts w:ascii="標楷體" w:eastAsia="標楷體" w:hAnsi="標楷體" w:hint="eastAsia"/>
        </w:rPr>
        <w:t>。</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4.2.著作外審委員推薦名單。</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4.3.</w:t>
      </w:r>
      <w:r w:rsidRPr="008D5179">
        <w:rPr>
          <w:rFonts w:ascii="標楷體" w:eastAsia="標楷體" w:hAnsi="標楷體"/>
        </w:rPr>
        <w:t>教師升等基本資料表</w:t>
      </w:r>
      <w:r w:rsidRPr="008D5179">
        <w:rPr>
          <w:rFonts w:ascii="標楷體" w:eastAsia="標楷體" w:hAnsi="標楷體" w:hint="eastAsia"/>
        </w:rPr>
        <w:t>含教師資格審查履歷表。</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4.4.</w:t>
      </w:r>
      <w:r w:rsidRPr="008D5179">
        <w:rPr>
          <w:rFonts w:ascii="標楷體" w:eastAsia="標楷體" w:hAnsi="標楷體"/>
        </w:rPr>
        <w:t>教師升等著作</w:t>
      </w:r>
      <w:r w:rsidRPr="008D5179">
        <w:rPr>
          <w:rFonts w:ascii="標楷體" w:eastAsia="標楷體" w:hAnsi="標楷體" w:hint="eastAsia"/>
        </w:rPr>
        <w:t>確</w:t>
      </w:r>
      <w:r w:rsidRPr="008D5179">
        <w:rPr>
          <w:rFonts w:ascii="標楷體" w:eastAsia="標楷體" w:hAnsi="標楷體"/>
        </w:rPr>
        <w:t>認</w:t>
      </w:r>
      <w:r w:rsidRPr="008D5179">
        <w:rPr>
          <w:rFonts w:ascii="標楷體" w:eastAsia="標楷體" w:hAnsi="標楷體" w:hint="eastAsia"/>
        </w:rPr>
        <w:t>表。</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4.5.教師資格審查代表作合著人證明。</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4.6.著作、作品審查迴避參考名單。</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4.7.教</w:t>
      </w:r>
      <w:r w:rsidRPr="008D5179">
        <w:rPr>
          <w:rFonts w:ascii="標楷體" w:eastAsia="標楷體" w:hAnsi="標楷體"/>
        </w:rPr>
        <w:t>師升等著作異同對照表</w:t>
      </w:r>
      <w:r w:rsidRPr="008D5179">
        <w:rPr>
          <w:rFonts w:ascii="標楷體" w:eastAsia="標楷體" w:hAnsi="標楷體" w:hint="eastAsia"/>
        </w:rPr>
        <w:t>。</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4.8.專科以上學校辦理以著作（技術報告、作品、體育成就）送審教師資格查核表。</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4.9.教師資格審查名冊。</w:t>
      </w:r>
    </w:p>
    <w:p w:rsidR="000501F3"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4.10.審定教師人數統計表。</w:t>
      </w: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5.1.教育人員任用條例。</w:t>
      </w:r>
      <w:r w:rsidRPr="009E7312">
        <w:rPr>
          <w:rFonts w:ascii="標楷體" w:eastAsia="標楷體" w:hAnsi="標楷體" w:hint="eastAsia"/>
        </w:rPr>
        <w:t>（教育部103.01.22）</w:t>
      </w:r>
    </w:p>
    <w:p w:rsidR="000501F3" w:rsidRPr="009E7312"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5.2.教育人員任用條例施行細則。</w:t>
      </w:r>
      <w:r w:rsidRPr="009E7312">
        <w:rPr>
          <w:rFonts w:ascii="標楷體" w:eastAsia="標楷體" w:hAnsi="標楷體" w:hint="eastAsia"/>
        </w:rPr>
        <w:t>（教育部104.12.28）</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5.3.專科以上學校教師資格審定辦法。</w:t>
      </w:r>
      <w:r w:rsidRPr="009E7312">
        <w:rPr>
          <w:rFonts w:ascii="標楷體" w:eastAsia="標楷體" w:hAnsi="標楷體" w:hint="eastAsia"/>
        </w:rPr>
        <w:t>（教育部105.05.25）</w:t>
      </w:r>
    </w:p>
    <w:p w:rsidR="0091220B" w:rsidRPr="008D5179" w:rsidRDefault="0091220B" w:rsidP="0091220B">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5.4.專科以上學校教師資格送審作業須知。</w:t>
      </w:r>
      <w:r w:rsidRPr="009E7312">
        <w:rPr>
          <w:rFonts w:ascii="標楷體" w:eastAsia="標楷體" w:hAnsi="標楷體" w:hint="eastAsia"/>
        </w:rPr>
        <w:t>（教育部101.12.24）</w:t>
      </w:r>
    </w:p>
    <w:p w:rsidR="000501F3" w:rsidRPr="008D5179" w:rsidRDefault="0091220B" w:rsidP="0091220B">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5.5.佛光大學教師聘任及升等辦法/教</w:t>
      </w:r>
      <w:r w:rsidRPr="008D5179">
        <w:rPr>
          <w:rFonts w:ascii="標楷體" w:eastAsia="標楷體" w:hAnsi="標楷體"/>
        </w:rPr>
        <w:t>師升等</w:t>
      </w:r>
      <w:r w:rsidRPr="008D5179">
        <w:rPr>
          <w:rFonts w:ascii="標楷體" w:eastAsia="標楷體" w:hAnsi="標楷體" w:hint="eastAsia"/>
        </w:rPr>
        <w:t>辦法。</w:t>
      </w:r>
    </w:p>
    <w:sectPr w:rsidR="000501F3" w:rsidRPr="008D5179" w:rsidSect="000501F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B04" w:rsidRDefault="00547B04" w:rsidP="0091220B">
      <w:r>
        <w:separator/>
      </w:r>
    </w:p>
  </w:endnote>
  <w:endnote w:type="continuationSeparator" w:id="0">
    <w:p w:rsidR="00547B04" w:rsidRDefault="00547B04" w:rsidP="0091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B04" w:rsidRDefault="00547B04" w:rsidP="0091220B">
      <w:r>
        <w:separator/>
      </w:r>
    </w:p>
  </w:footnote>
  <w:footnote w:type="continuationSeparator" w:id="0">
    <w:p w:rsidR="00547B04" w:rsidRDefault="00547B04" w:rsidP="00912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F3"/>
    <w:rsid w:val="000501F3"/>
    <w:rsid w:val="000547FE"/>
    <w:rsid w:val="001B4D03"/>
    <w:rsid w:val="00547B04"/>
    <w:rsid w:val="0091220B"/>
    <w:rsid w:val="009B22F4"/>
    <w:rsid w:val="00AC2A04"/>
    <w:rsid w:val="00C53105"/>
    <w:rsid w:val="00E71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1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1F3"/>
    <w:rPr>
      <w:color w:val="0563C1" w:themeColor="hyperlink"/>
      <w:u w:val="single"/>
    </w:rPr>
  </w:style>
  <w:style w:type="paragraph" w:styleId="a4">
    <w:name w:val="header"/>
    <w:basedOn w:val="a"/>
    <w:link w:val="a5"/>
    <w:uiPriority w:val="99"/>
    <w:unhideWhenUsed/>
    <w:rsid w:val="0091220B"/>
    <w:pPr>
      <w:tabs>
        <w:tab w:val="center" w:pos="4153"/>
        <w:tab w:val="right" w:pos="8306"/>
      </w:tabs>
      <w:snapToGrid w:val="0"/>
    </w:pPr>
    <w:rPr>
      <w:sz w:val="20"/>
      <w:szCs w:val="20"/>
    </w:rPr>
  </w:style>
  <w:style w:type="character" w:customStyle="1" w:styleId="a5">
    <w:name w:val="頁首 字元"/>
    <w:basedOn w:val="a0"/>
    <w:link w:val="a4"/>
    <w:uiPriority w:val="99"/>
    <w:rsid w:val="0091220B"/>
    <w:rPr>
      <w:sz w:val="20"/>
      <w:szCs w:val="20"/>
    </w:rPr>
  </w:style>
  <w:style w:type="paragraph" w:styleId="a6">
    <w:name w:val="footer"/>
    <w:basedOn w:val="a"/>
    <w:link w:val="a7"/>
    <w:uiPriority w:val="99"/>
    <w:unhideWhenUsed/>
    <w:rsid w:val="0091220B"/>
    <w:pPr>
      <w:tabs>
        <w:tab w:val="center" w:pos="4153"/>
        <w:tab w:val="right" w:pos="8306"/>
      </w:tabs>
      <w:snapToGrid w:val="0"/>
    </w:pPr>
    <w:rPr>
      <w:sz w:val="20"/>
      <w:szCs w:val="20"/>
    </w:rPr>
  </w:style>
  <w:style w:type="character" w:customStyle="1" w:styleId="a7">
    <w:name w:val="頁尾 字元"/>
    <w:basedOn w:val="a0"/>
    <w:link w:val="a6"/>
    <w:uiPriority w:val="99"/>
    <w:rsid w:val="0091220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1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1F3"/>
    <w:rPr>
      <w:color w:val="0563C1" w:themeColor="hyperlink"/>
      <w:u w:val="single"/>
    </w:rPr>
  </w:style>
  <w:style w:type="paragraph" w:styleId="a4">
    <w:name w:val="header"/>
    <w:basedOn w:val="a"/>
    <w:link w:val="a5"/>
    <w:uiPriority w:val="99"/>
    <w:unhideWhenUsed/>
    <w:rsid w:val="0091220B"/>
    <w:pPr>
      <w:tabs>
        <w:tab w:val="center" w:pos="4153"/>
        <w:tab w:val="right" w:pos="8306"/>
      </w:tabs>
      <w:snapToGrid w:val="0"/>
    </w:pPr>
    <w:rPr>
      <w:sz w:val="20"/>
      <w:szCs w:val="20"/>
    </w:rPr>
  </w:style>
  <w:style w:type="character" w:customStyle="1" w:styleId="a5">
    <w:name w:val="頁首 字元"/>
    <w:basedOn w:val="a0"/>
    <w:link w:val="a4"/>
    <w:uiPriority w:val="99"/>
    <w:rsid w:val="0091220B"/>
    <w:rPr>
      <w:sz w:val="20"/>
      <w:szCs w:val="20"/>
    </w:rPr>
  </w:style>
  <w:style w:type="paragraph" w:styleId="a6">
    <w:name w:val="footer"/>
    <w:basedOn w:val="a"/>
    <w:link w:val="a7"/>
    <w:uiPriority w:val="99"/>
    <w:unhideWhenUsed/>
    <w:rsid w:val="0091220B"/>
    <w:pPr>
      <w:tabs>
        <w:tab w:val="center" w:pos="4153"/>
        <w:tab w:val="right" w:pos="8306"/>
      </w:tabs>
      <w:snapToGrid w:val="0"/>
    </w:pPr>
    <w:rPr>
      <w:sz w:val="20"/>
      <w:szCs w:val="20"/>
    </w:rPr>
  </w:style>
  <w:style w:type="character" w:customStyle="1" w:styleId="a7">
    <w:name w:val="頁尾 字元"/>
    <w:basedOn w:val="a0"/>
    <w:link w:val="a6"/>
    <w:uiPriority w:val="99"/>
    <w:rsid w:val="009122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2017-08-22T03:09:00Z</dcterms:created>
  <dcterms:modified xsi:type="dcterms:W3CDTF">2019-01-03T08:57:00Z</dcterms:modified>
</cp:coreProperties>
</file>